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1"/>
        </w:tabs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：</w:t>
      </w:r>
    </w:p>
    <w:tbl>
      <w:tblPr>
        <w:tblStyle w:val="3"/>
        <w:tblW w:w="0" w:type="auto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809"/>
        <w:gridCol w:w="1260"/>
        <w:gridCol w:w="1245"/>
        <w:gridCol w:w="1230"/>
        <w:gridCol w:w="1260"/>
        <w:gridCol w:w="1230"/>
        <w:gridCol w:w="840"/>
        <w:gridCol w:w="4740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 xml:space="preserve"> 江苏东布洲科技园集团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下属公司公开招聘工作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人员岗位一览表</w:t>
            </w:r>
            <w:r>
              <w:rPr>
                <w:rStyle w:val="5"/>
                <w:rFonts w:hint="default"/>
                <w:lang w:bidi="ar"/>
              </w:rPr>
              <w:t>（2022年8月）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部门名称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其他资格条件和说明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岗位类别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江苏尔湾科技投资有限公司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投资主管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硕士研究生及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医药化工类相关专业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对生物医药、新材料等硬科技投资有较强的兴趣；学习能力强，具有良好的沟通协调以及文字表达能力，善于团队协作，工作责任心强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有基金从业资格证书的可适当放宽条件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eastAsia="zh-CN" w:bidi="ar"/>
              </w:rPr>
              <w:t>，熟悉基金募投管退流程以及参与过中早期项目投资、科创项目服务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的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eastAsia="zh-CN" w:bidi="ar"/>
              </w:rPr>
              <w:t>优先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紧缺型专业岗位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投资职员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全日制本科及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经济管理类、医药化工类相关专业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30周岁及以下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对生物医药等新兴产业投资有较强的兴趣；学习能力强，具有良好的沟通协调以及文字表达能力，善于团队协作，工作责任心强，有基金从业资格证书的可适当放宽条件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eastAsia="zh-CN" w:bidi="ar"/>
              </w:rPr>
              <w:t>，熟悉基金募投管退流程以及参与过中早期项目投资、科创项目服务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的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eastAsia="zh-CN" w:bidi="ar"/>
              </w:rPr>
              <w:t>优先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普通岗位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江苏云谷产业园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开发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法务职员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　法律相关专业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通过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国家统一法律职业资格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考试或有律师执业资格证书，熟悉经济法、民商法等法律法规专业知识，有3年以上风险控制或法律类相关工作经验的优先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普通岗位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审计职员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审计、财会类相关专业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在审计或会计岗位工作5年以上，具有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中级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会计师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及以上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或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审计师职称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普通岗位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南通玲珑湾物业管理有限公司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物业主管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具有5年以上物业管理工作经验，在物业公司经理及相近岗位工作2年以上，条件优秀者可适当放宽条件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普通岗位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物业职员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具有3年以上物业管理工作经验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普通岗位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南通海新生物医药科技发展有限公司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资产职员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建筑工程类相关专业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具有2年以上基层工作经验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普通岗位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招商职员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30周岁及以下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具有3年以上基层工作经验，1年以上专职招商工作经验，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接受长期出差安排，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招商业绩明显的可适当放宽条件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普通岗位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安全职员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生物医药类、化工类相关专业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具有5年以上生物制药或化工行业安环管理工作经验，掌握安环管理系统性知识，具备注册安全证的优先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普通岗位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南通江涌投资开发有限公司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安全职员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建筑工程类、安全管理类相关专业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40周岁及以下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具有安全员C证，3年以上施工单位安全岗位工作经验，具有安全工程师证的优先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普通岗位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南通博双贸易有限公司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业务职员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贸易类、经济类相关专业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30周岁及以下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具有良好的沟通协调能力，工作责任心强，有贸易相关工作经验者优先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普通岗位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海门玲珑湾旅游发展有限公司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策划职员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全日制本科及以上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新闻传播类、公共管理类、旅游管理类、设计学类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30周岁及以下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具有文创策划管理相关工作经验2年以上，具有良好的沟通协调能力和文字表达能力，文创策划相关业绩明显的适当放宽条件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普通岗位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备注：年龄及工作年限计算以2022年8月1日为基准时间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，特别优秀的可适当放宽年龄、学历、专业限制。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ZTM2Mjk5YzBkYjcwMzFjZDUxMDVmYTk1OGFkNjkifQ=="/>
  </w:docVars>
  <w:rsids>
    <w:rsidRoot w:val="795554CF"/>
    <w:rsid w:val="08850EE4"/>
    <w:rsid w:val="0E216095"/>
    <w:rsid w:val="16F13489"/>
    <w:rsid w:val="34242A25"/>
    <w:rsid w:val="4D5C5D96"/>
    <w:rsid w:val="534B3CA7"/>
    <w:rsid w:val="5AA40313"/>
    <w:rsid w:val="638E1E93"/>
    <w:rsid w:val="66240794"/>
    <w:rsid w:val="741371EF"/>
    <w:rsid w:val="77075264"/>
    <w:rsid w:val="7955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5">
    <w:name w:val="font51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1223</Words>
  <Characters>1244</Characters>
  <Lines>0</Lines>
  <Paragraphs>0</Paragraphs>
  <TotalTime>3</TotalTime>
  <ScaleCrop>false</ScaleCrop>
  <LinksUpToDate>false</LinksUpToDate>
  <CharactersWithSpaces>1248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2022-08-12T03:15:00Z</dcterms:created>
  <dc:creator>梦圆</dc:creator>
  <cp:lastModifiedBy>梦圆</cp:lastModifiedBy>
  <dcterms:modified xsi:type="dcterms:W3CDTF">2022-08-19T09:25:51Z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2A3E776C922848F399B1B497DC0AF4D0</vt:lpwstr>
  </property>
</Properties>
</file>